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5AE25" w14:textId="67D911E8" w:rsidR="00FE2641" w:rsidRPr="004F61B9" w:rsidRDefault="00FE2641" w:rsidP="004F61B9">
      <w:pPr>
        <w:spacing w:line="360" w:lineRule="auto"/>
        <w:jc w:val="center"/>
        <w:rPr>
          <w:rFonts w:ascii="Arial" w:hAnsi="Arial" w:cs="Arial"/>
          <w:b/>
          <w:bCs/>
        </w:rPr>
      </w:pPr>
      <w:r w:rsidRPr="004F61B9">
        <w:rPr>
          <w:rFonts w:ascii="Arial" w:hAnsi="Arial" w:cs="Arial"/>
          <w:b/>
          <w:bCs/>
        </w:rPr>
        <w:t>TABELA RÓWNOWAŻNOŚCI</w:t>
      </w:r>
    </w:p>
    <w:p w14:paraId="70272F8E" w14:textId="34185A61" w:rsidR="00F86F2D" w:rsidRPr="004F61B9" w:rsidRDefault="00F86F2D" w:rsidP="004F61B9">
      <w:pPr>
        <w:spacing w:before="360" w:after="360" w:line="360" w:lineRule="auto"/>
        <w:rPr>
          <w:rFonts w:ascii="Arial" w:hAnsi="Arial" w:cs="Arial"/>
          <w:b/>
          <w:bCs/>
          <w:color w:val="000000"/>
        </w:rPr>
      </w:pPr>
      <w:bookmarkStart w:id="0" w:name="_Hlk223464549"/>
      <w:bookmarkStart w:id="1" w:name="_Hlk153472144"/>
      <w:bookmarkStart w:id="2" w:name="_Hlk71719236"/>
      <w:bookmarkStart w:id="3" w:name="_Hlk71717377"/>
      <w:bookmarkStart w:id="4" w:name="_Hlk67244040"/>
      <w:r w:rsidRPr="004F61B9">
        <w:rPr>
          <w:rFonts w:ascii="Arial" w:eastAsia="Times New Roman" w:hAnsi="Arial" w:cs="Arial"/>
          <w:b/>
          <w:bCs/>
          <w:lang w:bidi="en-US"/>
        </w:rPr>
        <w:t xml:space="preserve">Nazwa zamówienia: </w:t>
      </w:r>
      <w:r w:rsidRPr="004F61B9">
        <w:rPr>
          <w:rFonts w:ascii="Arial" w:eastAsia="Times New Roman" w:hAnsi="Arial" w:cs="Arial"/>
          <w:b/>
          <w:bCs/>
          <w:lang w:bidi="en-US"/>
        </w:rPr>
        <w:t>Dobudowa hali do przetwórni ryb</w:t>
      </w:r>
      <w:bookmarkEnd w:id="0"/>
      <w:r w:rsidRPr="004F61B9">
        <w:rPr>
          <w:rFonts w:ascii="Arial" w:eastAsia="Times New Roman" w:hAnsi="Arial" w:cs="Arial"/>
          <w:b/>
          <w:bCs/>
          <w:lang w:bidi="en-US"/>
        </w:rPr>
        <w:t>.</w:t>
      </w:r>
    </w:p>
    <w:tbl>
      <w:tblPr>
        <w:tblStyle w:val="Tabela-Siatka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76"/>
        <w:gridCol w:w="2260"/>
        <w:gridCol w:w="2364"/>
        <w:gridCol w:w="4865"/>
      </w:tblGrid>
      <w:tr w:rsidR="00FE2641" w:rsidRPr="004F61B9" w14:paraId="44BFE8AD" w14:textId="77777777" w:rsidTr="00F86F2D">
        <w:tc>
          <w:tcPr>
            <w:tcW w:w="576" w:type="dxa"/>
          </w:tcPr>
          <w:bookmarkEnd w:id="1"/>
          <w:bookmarkEnd w:id="2"/>
          <w:bookmarkEnd w:id="3"/>
          <w:bookmarkEnd w:id="4"/>
          <w:p w14:paraId="0BD72B27" w14:textId="7C105A32" w:rsidR="00FE2641" w:rsidRPr="004F61B9" w:rsidRDefault="00FE2641" w:rsidP="004F61B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4F61B9">
              <w:rPr>
                <w:rFonts w:ascii="Arial" w:hAnsi="Arial" w:cs="Arial"/>
                <w:b/>
                <w:bCs/>
              </w:rPr>
              <w:t xml:space="preserve">Lp. </w:t>
            </w:r>
          </w:p>
        </w:tc>
        <w:tc>
          <w:tcPr>
            <w:tcW w:w="2260" w:type="dxa"/>
          </w:tcPr>
          <w:p w14:paraId="589F24A6" w14:textId="0B596D60" w:rsidR="00FE2641" w:rsidRPr="004F61B9" w:rsidRDefault="00FE2641" w:rsidP="004F61B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4F61B9">
              <w:rPr>
                <w:rFonts w:ascii="Arial" w:hAnsi="Arial" w:cs="Arial"/>
                <w:b/>
                <w:bCs/>
              </w:rPr>
              <w:t>Opis w dokumentacji</w:t>
            </w:r>
          </w:p>
        </w:tc>
        <w:tc>
          <w:tcPr>
            <w:tcW w:w="2364" w:type="dxa"/>
          </w:tcPr>
          <w:p w14:paraId="6C4DD7F5" w14:textId="7BF09A45" w:rsidR="00FE2641" w:rsidRPr="004F61B9" w:rsidRDefault="00FE2641" w:rsidP="004F61B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4F61B9">
              <w:rPr>
                <w:rFonts w:ascii="Arial" w:hAnsi="Arial" w:cs="Arial"/>
                <w:b/>
                <w:bCs/>
              </w:rPr>
              <w:t>Urządzenie wzorcowe</w:t>
            </w:r>
          </w:p>
        </w:tc>
        <w:tc>
          <w:tcPr>
            <w:tcW w:w="4865" w:type="dxa"/>
          </w:tcPr>
          <w:p w14:paraId="0162C22D" w14:textId="457B4BD8" w:rsidR="00FE2641" w:rsidRPr="004F61B9" w:rsidRDefault="00FE2641" w:rsidP="004F61B9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4F61B9">
              <w:rPr>
                <w:rFonts w:ascii="Arial" w:hAnsi="Arial" w:cs="Arial"/>
                <w:b/>
                <w:bCs/>
              </w:rPr>
              <w:t>Minimalne parametry, od których spełnienia zależy uznanie rzeczy za równoważną</w:t>
            </w:r>
          </w:p>
        </w:tc>
      </w:tr>
      <w:tr w:rsidR="00FE2641" w:rsidRPr="004F61B9" w14:paraId="687A102A" w14:textId="77777777" w:rsidTr="00F86F2D">
        <w:tc>
          <w:tcPr>
            <w:tcW w:w="576" w:type="dxa"/>
          </w:tcPr>
          <w:p w14:paraId="114E14C3" w14:textId="585B3DA7" w:rsidR="00FE2641" w:rsidRPr="004F61B9" w:rsidRDefault="00FE2641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1</w:t>
            </w:r>
          </w:p>
        </w:tc>
        <w:tc>
          <w:tcPr>
            <w:tcW w:w="2260" w:type="dxa"/>
          </w:tcPr>
          <w:p w14:paraId="7B7F2898" w14:textId="2DB16123" w:rsidR="00FE2641" w:rsidRPr="004F61B9" w:rsidRDefault="00295BB6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Jednostka zewnętrzna chłodnicy/nagrzewnicy z modułem komunikacyjnym</w:t>
            </w:r>
          </w:p>
        </w:tc>
        <w:tc>
          <w:tcPr>
            <w:tcW w:w="2364" w:type="dxa"/>
          </w:tcPr>
          <w:p w14:paraId="52720DEA" w14:textId="77777777" w:rsidR="00FE2641" w:rsidRPr="004F61B9" w:rsidRDefault="00295BB6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MOX630U-48HFN8-R(GA)</w:t>
            </w:r>
          </w:p>
          <w:p w14:paraId="5845526B" w14:textId="7280DE6A" w:rsidR="00295BB6" w:rsidRPr="004F61B9" w:rsidRDefault="00295BB6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KA8142</w:t>
            </w:r>
          </w:p>
        </w:tc>
        <w:tc>
          <w:tcPr>
            <w:tcW w:w="4865" w:type="dxa"/>
          </w:tcPr>
          <w:p w14:paraId="710697A0" w14:textId="77777777" w:rsidR="00295BB6" w:rsidRPr="004F61B9" w:rsidRDefault="00295BB6" w:rsidP="004F61B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Nominalna wydajność chłodnicza: 14,07 kW</w:t>
            </w:r>
          </w:p>
          <w:p w14:paraId="11710491" w14:textId="77777777" w:rsidR="00FE2641" w:rsidRPr="004F61B9" w:rsidRDefault="00295BB6" w:rsidP="004F61B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Nominalna wydajność grzewcza: 16,12 kW</w:t>
            </w:r>
          </w:p>
          <w:p w14:paraId="2617927C" w14:textId="77777777" w:rsidR="00295BB6" w:rsidRPr="004F61B9" w:rsidRDefault="00295BB6" w:rsidP="004F61B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Nominalny pobór mocy </w:t>
            </w:r>
            <w:proofErr w:type="spellStart"/>
            <w:r w:rsidRPr="004F61B9">
              <w:rPr>
                <w:rFonts w:ascii="Arial" w:hAnsi="Arial" w:cs="Arial"/>
              </w:rPr>
              <w:t>chł</w:t>
            </w:r>
            <w:proofErr w:type="spellEnd"/>
            <w:proofErr w:type="gramStart"/>
            <w:r w:rsidRPr="004F61B9">
              <w:rPr>
                <w:rFonts w:ascii="Arial" w:hAnsi="Arial" w:cs="Arial"/>
              </w:rPr>
              <w:t>. :</w:t>
            </w:r>
            <w:proofErr w:type="gramEnd"/>
            <w:r w:rsidRPr="004F61B9">
              <w:rPr>
                <w:rFonts w:ascii="Arial" w:hAnsi="Arial" w:cs="Arial"/>
              </w:rPr>
              <w:t xml:space="preserve"> 4,5 kW</w:t>
            </w:r>
          </w:p>
          <w:p w14:paraId="6C5FBD72" w14:textId="77777777" w:rsidR="00295BB6" w:rsidRPr="004F61B9" w:rsidRDefault="00295BB6" w:rsidP="004F61B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Nominalny pobór mocy </w:t>
            </w:r>
            <w:proofErr w:type="spellStart"/>
            <w:r w:rsidRPr="004F61B9">
              <w:rPr>
                <w:rFonts w:ascii="Arial" w:hAnsi="Arial" w:cs="Arial"/>
              </w:rPr>
              <w:t>grz</w:t>
            </w:r>
            <w:proofErr w:type="spellEnd"/>
            <w:proofErr w:type="gramStart"/>
            <w:r w:rsidRPr="004F61B9">
              <w:rPr>
                <w:rFonts w:ascii="Arial" w:hAnsi="Arial" w:cs="Arial"/>
              </w:rPr>
              <w:t>. :</w:t>
            </w:r>
            <w:proofErr w:type="gramEnd"/>
            <w:r w:rsidRPr="004F61B9">
              <w:rPr>
                <w:rFonts w:ascii="Arial" w:hAnsi="Arial" w:cs="Arial"/>
              </w:rPr>
              <w:t xml:space="preserve"> 4,6 kW</w:t>
            </w:r>
          </w:p>
          <w:p w14:paraId="7677AECE" w14:textId="4B6BD8BC" w:rsidR="00295BB6" w:rsidRPr="004F61B9" w:rsidRDefault="00295BB6" w:rsidP="004F61B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SEER: 6,1; SCOP: 4,0</w:t>
            </w:r>
          </w:p>
        </w:tc>
      </w:tr>
      <w:tr w:rsidR="00FE2641" w:rsidRPr="004F61B9" w14:paraId="3FEB7915" w14:textId="77777777" w:rsidTr="00F86F2D">
        <w:tc>
          <w:tcPr>
            <w:tcW w:w="576" w:type="dxa"/>
          </w:tcPr>
          <w:p w14:paraId="2DCB1ADD" w14:textId="3F5921C9" w:rsidR="00FE2641" w:rsidRPr="004F61B9" w:rsidRDefault="00FE2641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2</w:t>
            </w:r>
          </w:p>
        </w:tc>
        <w:tc>
          <w:tcPr>
            <w:tcW w:w="2260" w:type="dxa"/>
          </w:tcPr>
          <w:p w14:paraId="63D25092" w14:textId="39B3E7D9" w:rsidR="00FE2641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Separator tłuszczu</w:t>
            </w:r>
          </w:p>
        </w:tc>
        <w:tc>
          <w:tcPr>
            <w:tcW w:w="2364" w:type="dxa"/>
          </w:tcPr>
          <w:p w14:paraId="1669EB66" w14:textId="4DACF187" w:rsidR="00FE2641" w:rsidRPr="004F61B9" w:rsidRDefault="00295BB6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Separator tłuszczu EST 10/2000 z monitoringiem SMARTSEP</w:t>
            </w:r>
          </w:p>
        </w:tc>
        <w:tc>
          <w:tcPr>
            <w:tcW w:w="4865" w:type="dxa"/>
          </w:tcPr>
          <w:p w14:paraId="5873F66E" w14:textId="77777777" w:rsidR="00295BB6" w:rsidRPr="004F61B9" w:rsidRDefault="00295BB6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pojemność tłuszczu 500 l</w:t>
            </w:r>
          </w:p>
          <w:p w14:paraId="73C1B37F" w14:textId="77777777" w:rsidR="00295BB6" w:rsidRPr="004F61B9" w:rsidRDefault="00295BB6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średnica DN2000</w:t>
            </w:r>
          </w:p>
          <w:p w14:paraId="691011A9" w14:textId="77777777" w:rsidR="00295BB6" w:rsidRPr="004F61B9" w:rsidRDefault="00295BB6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- </w:t>
            </w:r>
            <w:proofErr w:type="spellStart"/>
            <w:r w:rsidRPr="004F61B9">
              <w:rPr>
                <w:rFonts w:ascii="Arial" w:hAnsi="Arial" w:cs="Arial"/>
              </w:rPr>
              <w:t>antyodorowy</w:t>
            </w:r>
            <w:proofErr w:type="spellEnd"/>
            <w:r w:rsidRPr="004F61B9">
              <w:rPr>
                <w:rFonts w:ascii="Arial" w:hAnsi="Arial" w:cs="Arial"/>
              </w:rPr>
              <w:t xml:space="preserve"> neutralizator</w:t>
            </w:r>
          </w:p>
          <w:p w14:paraId="28826A6B" w14:textId="77777777" w:rsidR="00295BB6" w:rsidRPr="004F61B9" w:rsidRDefault="00295BB6" w:rsidP="004F61B9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4F61B9">
              <w:rPr>
                <w:rFonts w:ascii="Arial" w:hAnsi="Arial" w:cs="Arial"/>
              </w:rPr>
              <w:t>podwłazowy</w:t>
            </w:r>
            <w:proofErr w:type="spellEnd"/>
          </w:p>
          <w:p w14:paraId="6840A7CB" w14:textId="77777777" w:rsidR="00DF4213" w:rsidRPr="004F61B9" w:rsidRDefault="00295BB6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- monitoring </w:t>
            </w:r>
          </w:p>
          <w:p w14:paraId="11B06A6E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Korpus urządzenia z prefabrykowanych elementów betonowych i żelbetowych wykonywany zgodnie z Krajową Oceną Techniczną, dopuszczającą do ich stosowania w obszarach budownictwa ogólnego, w inżynierii komunikacyjne oraz kolejowej, przystosowany do obciążenia badawczego 300kN zgodnie z wymaganiami normy PN-EN 1917, wykonany z następujących materiałów:</w:t>
            </w:r>
          </w:p>
          <w:p w14:paraId="37EFB3AF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beton klasy C35/45</w:t>
            </w:r>
          </w:p>
          <w:p w14:paraId="01CD237C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klasa ekspozycji betonu (wg PN-EN 206:2014-04): XC4, XA1, XF1,</w:t>
            </w:r>
          </w:p>
          <w:p w14:paraId="35D6F688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XD3, XS3</w:t>
            </w:r>
          </w:p>
          <w:p w14:paraId="12BC98E0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lastRenderedPageBreak/>
              <w:t>- nasiąkliwość betonu (wg PN-88/B-06250): &lt;5%</w:t>
            </w:r>
          </w:p>
          <w:p w14:paraId="68418F35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stopień wodoprzepuszczalności betonu (wg PN-88/B-06250): W8</w:t>
            </w:r>
          </w:p>
          <w:p w14:paraId="361FC92F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stopień mrozoodporności betonu w wodzie (wg PN-88/B-06250): F150</w:t>
            </w:r>
          </w:p>
          <w:p w14:paraId="7C75DD3F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stopień mrozoodporności betonu w 2% NaCl (wg PN-88/B-06250):</w:t>
            </w:r>
          </w:p>
          <w:p w14:paraId="50B5BD89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F50</w:t>
            </w:r>
          </w:p>
          <w:p w14:paraId="67351027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wskaźnik w/c (wg PN-EN 206:2014-04): ≤ 0,45</w:t>
            </w:r>
          </w:p>
          <w:p w14:paraId="79B98AC5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zbrojenie ze stali AIII/AIIIN</w:t>
            </w:r>
          </w:p>
          <w:p w14:paraId="5E0DA944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odporność chemiczna betonu bez powłok</w:t>
            </w:r>
          </w:p>
          <w:p w14:paraId="78787348" w14:textId="4D237FBA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wg wymagań PN-EN 858-1:2005/A1:2007.</w:t>
            </w:r>
          </w:p>
        </w:tc>
      </w:tr>
      <w:tr w:rsidR="00FE2641" w:rsidRPr="004F61B9" w14:paraId="16ED40DD" w14:textId="77777777" w:rsidTr="00F86F2D">
        <w:tc>
          <w:tcPr>
            <w:tcW w:w="576" w:type="dxa"/>
          </w:tcPr>
          <w:p w14:paraId="4790F212" w14:textId="5971E7FF" w:rsidR="00FE2641" w:rsidRPr="004F61B9" w:rsidRDefault="00FE2641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260" w:type="dxa"/>
          </w:tcPr>
          <w:p w14:paraId="1EA37568" w14:textId="28E6B8F2" w:rsidR="00FE2641" w:rsidRPr="004F61B9" w:rsidRDefault="000E127E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Centrala wentylacyjna z odzyskiem ciepła i komorą mieszania 60% recyrkulacja 40% powietrze świeże</w:t>
            </w:r>
          </w:p>
        </w:tc>
        <w:tc>
          <w:tcPr>
            <w:tcW w:w="2364" w:type="dxa"/>
          </w:tcPr>
          <w:p w14:paraId="7FDBDA96" w14:textId="053C7464" w:rsidR="00FE2641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VTS VVS021c-R-FPMVCS/VVS021c-L-SFVMP_cd</w:t>
            </w:r>
          </w:p>
        </w:tc>
        <w:tc>
          <w:tcPr>
            <w:tcW w:w="4865" w:type="dxa"/>
          </w:tcPr>
          <w:p w14:paraId="46D919DF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wydajność obliczeniowa:1500 m3/h</w:t>
            </w:r>
          </w:p>
          <w:p w14:paraId="11C24DDE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wymiennik krzyżowy</w:t>
            </w:r>
          </w:p>
          <w:p w14:paraId="6631E68F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centrala wentylacyjna ocieplona do pracy na zewnątrz</w:t>
            </w:r>
          </w:p>
          <w:p w14:paraId="2366DC89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wymagany spręż przy przepływie 1500 m3/h - 500 Pa</w:t>
            </w:r>
          </w:p>
          <w:p w14:paraId="3C272C6A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zapas powietrza 500 m3/h - sumaryczna wydajność centrali 2000 m3/h</w:t>
            </w:r>
          </w:p>
          <w:p w14:paraId="45DFC4A3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nagrzewnica/chłodnica freonowa zgodnie z kartą doboru</w:t>
            </w:r>
          </w:p>
          <w:p w14:paraId="34876ACC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- filtry klasy nawiew - F7 i wywiew M5,</w:t>
            </w:r>
          </w:p>
          <w:p w14:paraId="4A18D5D2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Uwaga:</w:t>
            </w:r>
          </w:p>
          <w:p w14:paraId="35CFBE98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1. Dodatkowo centrala wyposażona w komorę mieszania 60%</w:t>
            </w:r>
          </w:p>
          <w:p w14:paraId="7DCF96DF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recyrkulacja, 40% powietrze,</w:t>
            </w:r>
          </w:p>
          <w:p w14:paraId="1FDBD80F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2. Automatyka z możliwością automatycznego chwilowego odcięcia</w:t>
            </w:r>
          </w:p>
          <w:p w14:paraId="4FFC726B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lastRenderedPageBreak/>
              <w:t xml:space="preserve">powietrza świeżego na okres </w:t>
            </w:r>
            <w:proofErr w:type="spellStart"/>
            <w:r w:rsidRPr="004F61B9">
              <w:rPr>
                <w:rFonts w:ascii="Arial" w:hAnsi="Arial" w:cs="Arial"/>
              </w:rPr>
              <w:t>odszraniania</w:t>
            </w:r>
            <w:proofErr w:type="spellEnd"/>
            <w:r w:rsidRPr="004F61B9">
              <w:rPr>
                <w:rFonts w:ascii="Arial" w:hAnsi="Arial" w:cs="Arial"/>
              </w:rPr>
              <w:t xml:space="preserve"> agregatu i przejście w 100% na</w:t>
            </w:r>
          </w:p>
          <w:p w14:paraId="22BE4AD7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recyrkulację</w:t>
            </w:r>
          </w:p>
          <w:p w14:paraId="7949D705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3. 40% świeżego powietrza dopiero po osiągnięciu w hali 18 </w:t>
            </w:r>
            <w:proofErr w:type="spellStart"/>
            <w:r w:rsidRPr="004F61B9">
              <w:rPr>
                <w:rFonts w:ascii="Arial" w:hAnsi="Arial" w:cs="Arial"/>
              </w:rPr>
              <w:t>st.C</w:t>
            </w:r>
            <w:proofErr w:type="spellEnd"/>
            <w:r w:rsidRPr="004F61B9">
              <w:rPr>
                <w:rFonts w:ascii="Arial" w:hAnsi="Arial" w:cs="Arial"/>
              </w:rPr>
              <w:t>, do</w:t>
            </w:r>
          </w:p>
          <w:p w14:paraId="20CACE82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tego momentu 100% cyrkulacja</w:t>
            </w:r>
          </w:p>
          <w:p w14:paraId="1F611617" w14:textId="77777777" w:rsidR="00773038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4. Centrala będzie służyła do ogrzania obiektu</w:t>
            </w:r>
          </w:p>
          <w:p w14:paraId="305DBB75" w14:textId="6A99210E" w:rsidR="00567104" w:rsidRPr="004F61B9" w:rsidRDefault="0077303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5. Centrala oraz agregat grzewczy zoptymalizowany pod ogrzewanie</w:t>
            </w:r>
          </w:p>
        </w:tc>
      </w:tr>
      <w:tr w:rsidR="00FE2641" w:rsidRPr="004F61B9" w14:paraId="48BB640E" w14:textId="77777777" w:rsidTr="00F86F2D">
        <w:tc>
          <w:tcPr>
            <w:tcW w:w="576" w:type="dxa"/>
          </w:tcPr>
          <w:p w14:paraId="26DE0B18" w14:textId="01DE0286" w:rsidR="00FE2641" w:rsidRPr="004F61B9" w:rsidRDefault="00FE2641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260" w:type="dxa"/>
          </w:tcPr>
          <w:p w14:paraId="2F5C6306" w14:textId="59E04500" w:rsidR="00FE2641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Oprawa liniowa LED 54W</w:t>
            </w:r>
          </w:p>
        </w:tc>
        <w:tc>
          <w:tcPr>
            <w:tcW w:w="2364" w:type="dxa"/>
          </w:tcPr>
          <w:p w14:paraId="064FA5B7" w14:textId="5310D15A" w:rsidR="00FE2641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Atlantyk firmy LUG</w:t>
            </w:r>
          </w:p>
        </w:tc>
        <w:tc>
          <w:tcPr>
            <w:tcW w:w="4865" w:type="dxa"/>
          </w:tcPr>
          <w:p w14:paraId="044AE14C" w14:textId="77777777" w:rsidR="00DA77E8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LED 54W </w:t>
            </w:r>
          </w:p>
          <w:p w14:paraId="0E91E59B" w14:textId="77777777" w:rsidR="00DA77E8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9500lm </w:t>
            </w:r>
          </w:p>
          <w:p w14:paraId="4C298C08" w14:textId="77777777" w:rsidR="00DA77E8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4000K </w:t>
            </w:r>
          </w:p>
          <w:p w14:paraId="38950A5D" w14:textId="0E22126D" w:rsidR="006E3DD5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IP65</w:t>
            </w:r>
          </w:p>
        </w:tc>
      </w:tr>
      <w:tr w:rsidR="00DA77E8" w:rsidRPr="004F61B9" w14:paraId="0C4FB295" w14:textId="77777777" w:rsidTr="00F86F2D">
        <w:tc>
          <w:tcPr>
            <w:tcW w:w="576" w:type="dxa"/>
          </w:tcPr>
          <w:p w14:paraId="57FA57DC" w14:textId="3D137CD6" w:rsidR="00DA77E8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5</w:t>
            </w:r>
          </w:p>
        </w:tc>
        <w:tc>
          <w:tcPr>
            <w:tcW w:w="2260" w:type="dxa"/>
          </w:tcPr>
          <w:p w14:paraId="3A09668B" w14:textId="5DDBFE05" w:rsidR="00DA77E8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Oprawa liniowa LED 31W</w:t>
            </w:r>
          </w:p>
        </w:tc>
        <w:tc>
          <w:tcPr>
            <w:tcW w:w="2364" w:type="dxa"/>
          </w:tcPr>
          <w:p w14:paraId="15AFB140" w14:textId="09CAC8F8" w:rsidR="00DA77E8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Atlantyk firmy LUG</w:t>
            </w:r>
          </w:p>
        </w:tc>
        <w:tc>
          <w:tcPr>
            <w:tcW w:w="4865" w:type="dxa"/>
          </w:tcPr>
          <w:p w14:paraId="70602C11" w14:textId="77777777" w:rsidR="00DA77E8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LED 31W </w:t>
            </w:r>
          </w:p>
          <w:p w14:paraId="303500AD" w14:textId="77777777" w:rsidR="00DA77E8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4700lm </w:t>
            </w:r>
          </w:p>
          <w:p w14:paraId="4D45D178" w14:textId="0A81CA27" w:rsidR="00DA77E8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4000K </w:t>
            </w:r>
          </w:p>
          <w:p w14:paraId="102F940F" w14:textId="34877FFD" w:rsidR="00DA77E8" w:rsidRPr="004F61B9" w:rsidRDefault="00DA77E8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IP65</w:t>
            </w:r>
          </w:p>
        </w:tc>
      </w:tr>
      <w:tr w:rsidR="00765372" w:rsidRPr="004F61B9" w14:paraId="18803066" w14:textId="77777777" w:rsidTr="00F86F2D">
        <w:tc>
          <w:tcPr>
            <w:tcW w:w="576" w:type="dxa"/>
          </w:tcPr>
          <w:p w14:paraId="36C45ED8" w14:textId="22CD823E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6</w:t>
            </w:r>
          </w:p>
        </w:tc>
        <w:tc>
          <w:tcPr>
            <w:tcW w:w="2260" w:type="dxa"/>
          </w:tcPr>
          <w:p w14:paraId="26775A57" w14:textId="45551A72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Oprawa oświetlenia kierunkowego do montażu natynkowego typu LED</w:t>
            </w:r>
          </w:p>
        </w:tc>
        <w:tc>
          <w:tcPr>
            <w:tcW w:w="2364" w:type="dxa"/>
          </w:tcPr>
          <w:p w14:paraId="4BD1753A" w14:textId="54824C19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ONTEC S M1</w:t>
            </w:r>
          </w:p>
        </w:tc>
        <w:tc>
          <w:tcPr>
            <w:tcW w:w="4865" w:type="dxa"/>
          </w:tcPr>
          <w:p w14:paraId="3D8AFFB2" w14:textId="48342CB4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LED IP65 z </w:t>
            </w:r>
            <w:proofErr w:type="spellStart"/>
            <w:r w:rsidRPr="004F61B9">
              <w:rPr>
                <w:rFonts w:ascii="Arial" w:hAnsi="Arial" w:cs="Arial"/>
              </w:rPr>
              <w:t>autotestem</w:t>
            </w:r>
            <w:proofErr w:type="spellEnd"/>
            <w:r w:rsidRPr="004F61B9">
              <w:rPr>
                <w:rFonts w:ascii="Arial" w:hAnsi="Arial" w:cs="Arial"/>
              </w:rPr>
              <w:t xml:space="preserve">, jednostronna do pracy ciągłej, wyposażona w odpowiedni piktogram i </w:t>
            </w:r>
            <w:proofErr w:type="spellStart"/>
            <w:r w:rsidRPr="004F61B9">
              <w:rPr>
                <w:rFonts w:ascii="Arial" w:hAnsi="Arial" w:cs="Arial"/>
              </w:rPr>
              <w:t>akum</w:t>
            </w:r>
            <w:proofErr w:type="spellEnd"/>
            <w:r w:rsidRPr="004F61B9">
              <w:rPr>
                <w:rFonts w:ascii="Arial" w:hAnsi="Arial" w:cs="Arial"/>
              </w:rPr>
              <w:t>. 1h, z certyfikatem CNBOP</w:t>
            </w:r>
          </w:p>
        </w:tc>
      </w:tr>
      <w:tr w:rsidR="00765372" w:rsidRPr="004F61B9" w14:paraId="429FAC67" w14:textId="77777777" w:rsidTr="00F86F2D">
        <w:tc>
          <w:tcPr>
            <w:tcW w:w="576" w:type="dxa"/>
          </w:tcPr>
          <w:p w14:paraId="25EB28D3" w14:textId="410A3AFF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7</w:t>
            </w:r>
          </w:p>
        </w:tc>
        <w:tc>
          <w:tcPr>
            <w:tcW w:w="2260" w:type="dxa"/>
          </w:tcPr>
          <w:p w14:paraId="4989F40E" w14:textId="50ECBB56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Oprawa oświetlenia kierunkowego do montażu do sufitu typu LED</w:t>
            </w:r>
          </w:p>
        </w:tc>
        <w:tc>
          <w:tcPr>
            <w:tcW w:w="2364" w:type="dxa"/>
          </w:tcPr>
          <w:p w14:paraId="4C6488EA" w14:textId="1EDBE2D1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ONTEC S M1 z flagą</w:t>
            </w:r>
          </w:p>
        </w:tc>
        <w:tc>
          <w:tcPr>
            <w:tcW w:w="4865" w:type="dxa"/>
          </w:tcPr>
          <w:p w14:paraId="47E54BF4" w14:textId="7BCABA7A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LED IP65 z </w:t>
            </w:r>
            <w:proofErr w:type="spellStart"/>
            <w:r w:rsidRPr="004F61B9">
              <w:rPr>
                <w:rFonts w:ascii="Arial" w:hAnsi="Arial" w:cs="Arial"/>
              </w:rPr>
              <w:t>autotestem</w:t>
            </w:r>
            <w:proofErr w:type="spellEnd"/>
            <w:r w:rsidRPr="004F61B9">
              <w:rPr>
                <w:rFonts w:ascii="Arial" w:hAnsi="Arial" w:cs="Arial"/>
              </w:rPr>
              <w:t xml:space="preserve">, dwustronna do pracy ciągłej, wyposażona w odpowiedni piktogram i </w:t>
            </w:r>
            <w:proofErr w:type="spellStart"/>
            <w:r w:rsidRPr="004F61B9">
              <w:rPr>
                <w:rFonts w:ascii="Arial" w:hAnsi="Arial" w:cs="Arial"/>
              </w:rPr>
              <w:t>akum</w:t>
            </w:r>
            <w:proofErr w:type="spellEnd"/>
            <w:r w:rsidRPr="004F61B9">
              <w:rPr>
                <w:rFonts w:ascii="Arial" w:hAnsi="Arial" w:cs="Arial"/>
              </w:rPr>
              <w:t>. 1h, z certyfikatem CNBOP</w:t>
            </w:r>
          </w:p>
        </w:tc>
      </w:tr>
      <w:tr w:rsidR="00765372" w:rsidRPr="004F61B9" w14:paraId="1362404C" w14:textId="77777777" w:rsidTr="00F86F2D">
        <w:tc>
          <w:tcPr>
            <w:tcW w:w="576" w:type="dxa"/>
          </w:tcPr>
          <w:p w14:paraId="4342D986" w14:textId="40862480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8</w:t>
            </w:r>
          </w:p>
        </w:tc>
        <w:tc>
          <w:tcPr>
            <w:tcW w:w="2260" w:type="dxa"/>
          </w:tcPr>
          <w:p w14:paraId="769FC7B6" w14:textId="21E88626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oprawa oświetlenia awaryjnego 3,8W </w:t>
            </w:r>
            <w:r w:rsidRPr="004F61B9">
              <w:rPr>
                <w:rFonts w:ascii="Arial" w:hAnsi="Arial" w:cs="Arial"/>
              </w:rPr>
              <w:lastRenderedPageBreak/>
              <w:t>do montażu natynkowego</w:t>
            </w:r>
          </w:p>
        </w:tc>
        <w:tc>
          <w:tcPr>
            <w:tcW w:w="2364" w:type="dxa"/>
          </w:tcPr>
          <w:p w14:paraId="6ABD8FBE" w14:textId="11103CAE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lastRenderedPageBreak/>
              <w:t>ONTEC S20 M1X 1h</w:t>
            </w:r>
          </w:p>
        </w:tc>
        <w:tc>
          <w:tcPr>
            <w:tcW w:w="4865" w:type="dxa"/>
          </w:tcPr>
          <w:p w14:paraId="05406B55" w14:textId="295DCD3D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3,8W do montażu natynkowego typu LED z </w:t>
            </w:r>
            <w:proofErr w:type="spellStart"/>
            <w:r w:rsidRPr="004F61B9">
              <w:rPr>
                <w:rFonts w:ascii="Arial" w:hAnsi="Arial" w:cs="Arial"/>
              </w:rPr>
              <w:t>autotestem</w:t>
            </w:r>
            <w:proofErr w:type="spellEnd"/>
            <w:r w:rsidRPr="004F61B9">
              <w:rPr>
                <w:rFonts w:ascii="Arial" w:hAnsi="Arial" w:cs="Arial"/>
              </w:rPr>
              <w:t xml:space="preserve">, IP65 do pracy awaryjnej, z </w:t>
            </w:r>
            <w:proofErr w:type="spellStart"/>
            <w:r w:rsidRPr="004F61B9">
              <w:rPr>
                <w:rFonts w:ascii="Arial" w:hAnsi="Arial" w:cs="Arial"/>
              </w:rPr>
              <w:t>akum</w:t>
            </w:r>
            <w:proofErr w:type="spellEnd"/>
            <w:r w:rsidRPr="004F61B9">
              <w:rPr>
                <w:rFonts w:ascii="Arial" w:hAnsi="Arial" w:cs="Arial"/>
              </w:rPr>
              <w:t>. 1h, z certyfikatem CNBOP</w:t>
            </w:r>
          </w:p>
        </w:tc>
      </w:tr>
      <w:tr w:rsidR="00765372" w:rsidRPr="004F61B9" w14:paraId="101EE0C2" w14:textId="77777777" w:rsidTr="00F86F2D">
        <w:tc>
          <w:tcPr>
            <w:tcW w:w="576" w:type="dxa"/>
          </w:tcPr>
          <w:p w14:paraId="3435B80F" w14:textId="7533107F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9</w:t>
            </w:r>
          </w:p>
        </w:tc>
        <w:tc>
          <w:tcPr>
            <w:tcW w:w="2260" w:type="dxa"/>
          </w:tcPr>
          <w:p w14:paraId="0BE2D92A" w14:textId="6DE4695D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oprawa oświetlenia awaryjnego do montażu natynkowego typu LED</w:t>
            </w:r>
          </w:p>
        </w:tc>
        <w:tc>
          <w:tcPr>
            <w:tcW w:w="2364" w:type="dxa"/>
          </w:tcPr>
          <w:p w14:paraId="18B1DF33" w14:textId="54117C98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>ONTEC S W1 COLD + zestaw IP67</w:t>
            </w:r>
          </w:p>
        </w:tc>
        <w:tc>
          <w:tcPr>
            <w:tcW w:w="4865" w:type="dxa"/>
          </w:tcPr>
          <w:p w14:paraId="7ACC712E" w14:textId="7D09D38E" w:rsidR="00765372" w:rsidRPr="004F61B9" w:rsidRDefault="00765372" w:rsidP="004F61B9">
            <w:pPr>
              <w:spacing w:line="360" w:lineRule="auto"/>
              <w:rPr>
                <w:rFonts w:ascii="Arial" w:hAnsi="Arial" w:cs="Arial"/>
              </w:rPr>
            </w:pPr>
            <w:r w:rsidRPr="004F61B9">
              <w:rPr>
                <w:rFonts w:ascii="Arial" w:hAnsi="Arial" w:cs="Arial"/>
              </w:rPr>
              <w:t xml:space="preserve">LED IP65 z </w:t>
            </w:r>
            <w:proofErr w:type="spellStart"/>
            <w:r w:rsidRPr="004F61B9">
              <w:rPr>
                <w:rFonts w:ascii="Arial" w:hAnsi="Arial" w:cs="Arial"/>
              </w:rPr>
              <w:t>autotestem</w:t>
            </w:r>
            <w:proofErr w:type="spellEnd"/>
            <w:r w:rsidRPr="004F61B9">
              <w:rPr>
                <w:rFonts w:ascii="Arial" w:hAnsi="Arial" w:cs="Arial"/>
              </w:rPr>
              <w:t xml:space="preserve"> do pracy awaryjnej, z </w:t>
            </w:r>
            <w:proofErr w:type="spellStart"/>
            <w:r w:rsidRPr="004F61B9">
              <w:rPr>
                <w:rFonts w:ascii="Arial" w:hAnsi="Arial" w:cs="Arial"/>
              </w:rPr>
              <w:t>akum</w:t>
            </w:r>
            <w:proofErr w:type="spellEnd"/>
            <w:r w:rsidRPr="004F61B9">
              <w:rPr>
                <w:rFonts w:ascii="Arial" w:hAnsi="Arial" w:cs="Arial"/>
              </w:rPr>
              <w:t>. 1h, przystosowana do pracy na zewnątrz -20st.C, z certyfikatem CNBOP</w:t>
            </w:r>
          </w:p>
        </w:tc>
      </w:tr>
    </w:tbl>
    <w:p w14:paraId="5FC9A5E8" w14:textId="77777777" w:rsidR="00FE2641" w:rsidRPr="004F61B9" w:rsidRDefault="00FE2641" w:rsidP="004F61B9">
      <w:pPr>
        <w:spacing w:line="360" w:lineRule="auto"/>
        <w:rPr>
          <w:rFonts w:ascii="Arial" w:hAnsi="Arial" w:cs="Arial"/>
        </w:rPr>
      </w:pPr>
    </w:p>
    <w:sectPr w:rsidR="00FE2641" w:rsidRPr="004F61B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7B3DF" w14:textId="77777777" w:rsidR="003708C0" w:rsidRDefault="003708C0" w:rsidP="00C0709D">
      <w:pPr>
        <w:spacing w:after="0" w:line="240" w:lineRule="auto"/>
      </w:pPr>
      <w:r>
        <w:separator/>
      </w:r>
    </w:p>
  </w:endnote>
  <w:endnote w:type="continuationSeparator" w:id="0">
    <w:p w14:paraId="2EA9C119" w14:textId="77777777" w:rsidR="003708C0" w:rsidRDefault="003708C0" w:rsidP="00C07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568968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C031571" w14:textId="604AE044" w:rsidR="00C0709D" w:rsidRDefault="00C0709D">
            <w:pPr>
              <w:pStyle w:val="Stopka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9E2A6" w14:textId="77777777" w:rsidR="003708C0" w:rsidRDefault="003708C0" w:rsidP="00C0709D">
      <w:pPr>
        <w:spacing w:after="0" w:line="240" w:lineRule="auto"/>
      </w:pPr>
      <w:r>
        <w:separator/>
      </w:r>
    </w:p>
  </w:footnote>
  <w:footnote w:type="continuationSeparator" w:id="0">
    <w:p w14:paraId="19DC8BB9" w14:textId="77777777" w:rsidR="003708C0" w:rsidRDefault="003708C0" w:rsidP="00C07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FD94" w14:textId="1A6E9105" w:rsidR="000E6A05" w:rsidRPr="000E6A05" w:rsidRDefault="000E6A05" w:rsidP="000E6A05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eastAsia="Times New Roman" w:hAnsi="Arial" w:cs="Arial"/>
        <w:b/>
        <w:bCs/>
        <w:lang w:eastAsia="pl-PL"/>
      </w:rPr>
    </w:pPr>
    <w:r w:rsidRPr="003B39D6">
      <w:rPr>
        <w:rFonts w:ascii="Arial" w:eastAsia="Times New Roman" w:hAnsi="Arial" w:cs="Arial"/>
        <w:b/>
        <w:bCs/>
        <w:lang w:eastAsia="pl-PL"/>
      </w:rPr>
      <w:t xml:space="preserve">Znak sprawy: </w:t>
    </w:r>
    <w:r w:rsidRPr="008255F8">
      <w:rPr>
        <w:rFonts w:ascii="Arial" w:hAnsi="Arial" w:cs="Arial"/>
        <w:b/>
        <w:bCs/>
      </w:rPr>
      <w:t>DZ-270.001.2026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641"/>
    <w:rsid w:val="000E127E"/>
    <w:rsid w:val="000E6A05"/>
    <w:rsid w:val="00295BB6"/>
    <w:rsid w:val="002A79CA"/>
    <w:rsid w:val="003708C0"/>
    <w:rsid w:val="004F61B9"/>
    <w:rsid w:val="00567104"/>
    <w:rsid w:val="005E2D82"/>
    <w:rsid w:val="006E3DD5"/>
    <w:rsid w:val="006E6B76"/>
    <w:rsid w:val="00765372"/>
    <w:rsid w:val="00773038"/>
    <w:rsid w:val="007C7F49"/>
    <w:rsid w:val="00965249"/>
    <w:rsid w:val="009F5998"/>
    <w:rsid w:val="00C0709D"/>
    <w:rsid w:val="00DA77E8"/>
    <w:rsid w:val="00DD3B13"/>
    <w:rsid w:val="00DD5219"/>
    <w:rsid w:val="00DF4213"/>
    <w:rsid w:val="00E57CE7"/>
    <w:rsid w:val="00EA0439"/>
    <w:rsid w:val="00F86F2D"/>
    <w:rsid w:val="00FE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4FCA7"/>
  <w15:chartTrackingRefBased/>
  <w15:docId w15:val="{6083B760-A9D3-40A1-8B50-86994FDB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2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2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26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2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26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2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2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2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2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26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26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26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26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26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26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26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26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26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2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2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2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2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26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26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26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2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26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264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E2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7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709D"/>
  </w:style>
  <w:style w:type="paragraph" w:styleId="Stopka">
    <w:name w:val="footer"/>
    <w:basedOn w:val="Normalny"/>
    <w:link w:val="StopkaZnak"/>
    <w:uiPriority w:val="99"/>
    <w:unhideWhenUsed/>
    <w:rsid w:val="00C07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7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Grot</dc:creator>
  <cp:keywords/>
  <dc:description/>
  <cp:lastModifiedBy>Barbara Rokosz</cp:lastModifiedBy>
  <cp:revision>11</cp:revision>
  <dcterms:created xsi:type="dcterms:W3CDTF">2026-02-28T15:52:00Z</dcterms:created>
  <dcterms:modified xsi:type="dcterms:W3CDTF">2026-03-11T10:26:00Z</dcterms:modified>
</cp:coreProperties>
</file>